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1"/>
        <w:gridCol w:w="8107"/>
      </w:tblGrid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Článek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gdpr-na-webu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-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-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GDPR</w:t>
            </w:r>
            <w:bookmarkStart w:id="0" w:name="_GoBack"/>
            <w:bookmarkEnd w:id="0"/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Povinnosti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EU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GDPR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GDPR na webových stránkách | Správa webového obsahu</w:t>
            </w:r>
          </w:p>
        </w:tc>
      </w:tr>
      <w:tr w:rsidR="00D027DF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027DF" w:rsidRDefault="005257B9">
            <w:pPr>
              <w:pStyle w:val="Obsahtabulky"/>
            </w:pPr>
            <w:r>
              <w:t xml:space="preserve">Obecné nařízení GDPR o ochraně údajů, je právní </w:t>
            </w:r>
            <w:r>
              <w:t>rámec, který stanovuje pravidla pro sběr a zpracování osobních údajů fyzických osob v rámci EU.</w:t>
            </w:r>
          </w:p>
        </w:tc>
      </w:tr>
    </w:tbl>
    <w:p w:rsidR="00D027DF" w:rsidRDefault="005257B9">
      <w:pPr>
        <w:pStyle w:val="Nadpis1"/>
        <w:numPr>
          <w:ilvl w:val="0"/>
          <w:numId w:val="2"/>
        </w:numPr>
      </w:pPr>
      <w:r>
        <w:t>GDPR na webu</w:t>
      </w:r>
    </w:p>
    <w:p w:rsidR="00D027DF" w:rsidRDefault="005257B9">
      <w:pPr>
        <w:pStyle w:val="Zkladntext"/>
      </w:pPr>
      <w:r>
        <w:t xml:space="preserve">GDPR (General Data Protection Regulation) neboli obecné nařízení o ochraně údajů, je právní rámec, který stanovuje pravidla pro sběr a zpracování </w:t>
      </w:r>
      <w:r>
        <w:t>osobních údajů fyzických osob v rámci Evropské unie.</w:t>
      </w:r>
    </w:p>
    <w:p w:rsidR="00D027DF" w:rsidRDefault="005257B9">
      <w:pPr>
        <w:pStyle w:val="Zkladntext"/>
      </w:pPr>
      <w:r>
        <w:t>Stanovuje zásady pro správu dat a práv jednotlivce, a zároveň ukládá pokuty. Toto obecné nařízení o ochraně údajů se týká celé organizace nejen webu a vztahuje na všechny úřady a firmy, které pracují s o</w:t>
      </w:r>
      <w:r>
        <w:t>sobními údaji občanů.</w:t>
      </w:r>
    </w:p>
    <w:p w:rsidR="00D027DF" w:rsidRDefault="005257B9">
      <w:pPr>
        <w:pStyle w:val="Zkladntext"/>
      </w:pPr>
      <w:r>
        <w:t xml:space="preserve">Nařízení je platné v celé EU ode dne </w:t>
      </w:r>
      <w:r>
        <w:rPr>
          <w:b/>
          <w:bCs/>
        </w:rPr>
        <w:t>25. května 2018</w:t>
      </w:r>
      <w:r>
        <w:t>.</w:t>
      </w:r>
    </w:p>
    <w:p w:rsidR="00D027DF" w:rsidRDefault="005257B9">
      <w:pPr>
        <w:pStyle w:val="Nadpis2"/>
      </w:pPr>
      <w:r>
        <w:t>Cookie</w:t>
      </w:r>
    </w:p>
    <w:p w:rsidR="00D027DF" w:rsidRDefault="005257B9">
      <w:pPr>
        <w:pStyle w:val="Zkladntext"/>
      </w:pPr>
      <w:r>
        <w:t xml:space="preserve">Od 30. září 2015 je nutné pro uživatele z Evropské Unie (EU) webové stránky doplnit o Povinný souhlas k ukládání souborů </w:t>
      </w:r>
      <w:hyperlink r:id="rId6">
        <w:r>
          <w:rPr>
            <w:rStyle w:val="Internetovodkaz"/>
          </w:rPr>
          <w:t>cookie</w:t>
        </w:r>
      </w:hyperlink>
      <w:r>
        <w:t>.</w:t>
      </w:r>
    </w:p>
    <w:p w:rsidR="00D027DF" w:rsidRDefault="005257B9">
      <w:pPr>
        <w:pStyle w:val="Nadpis2"/>
      </w:pPr>
      <w:r>
        <w:t>Kdy se vás GDPR netýká</w:t>
      </w:r>
    </w:p>
    <w:p w:rsidR="00D027DF" w:rsidRDefault="005257B9">
      <w:pPr>
        <w:pStyle w:val="Zkladntext"/>
        <w:numPr>
          <w:ilvl w:val="0"/>
          <w:numId w:val="3"/>
        </w:numPr>
      </w:pPr>
      <w:r>
        <w:t xml:space="preserve">neukládáte ani nezpracováváte </w:t>
      </w:r>
      <w:r>
        <w:rPr>
          <w:b/>
          <w:bCs/>
        </w:rPr>
        <w:t>žádné</w:t>
      </w:r>
      <w:r>
        <w:t xml:space="preserve"> osobní údaje</w:t>
      </w:r>
    </w:p>
    <w:p w:rsidR="00D027DF" w:rsidRDefault="005257B9">
      <w:pPr>
        <w:pStyle w:val="Zkladntext"/>
        <w:numPr>
          <w:ilvl w:val="0"/>
          <w:numId w:val="3"/>
        </w:numPr>
      </w:pPr>
      <w:r>
        <w:rPr>
          <w:b/>
          <w:bCs/>
        </w:rPr>
        <w:t>nepoužíváte</w:t>
      </w:r>
      <w:r>
        <w:t xml:space="preserve"> služby třetích stran</w:t>
      </w:r>
    </w:p>
    <w:p w:rsidR="00D027DF" w:rsidRDefault="005257B9">
      <w:pPr>
        <w:pStyle w:val="Zkladntext"/>
        <w:numPr>
          <w:ilvl w:val="1"/>
          <w:numId w:val="3"/>
        </w:numPr>
      </w:pPr>
      <w:r>
        <w:t>skripty reklamních systémů (Adsense, Adwords, Sklik atd.) – případně používat jen nepersonalizované reklamy</w:t>
      </w:r>
    </w:p>
    <w:p w:rsidR="00D027DF" w:rsidRDefault="005257B9">
      <w:pPr>
        <w:pStyle w:val="Zkladntext"/>
        <w:numPr>
          <w:ilvl w:val="1"/>
          <w:numId w:val="3"/>
        </w:numPr>
      </w:pPr>
      <w:r>
        <w:t xml:space="preserve">analytické nástroje </w:t>
      </w:r>
      <w:r>
        <w:t>(Google Analytics) – používáte jen „jednoduché počítadlo návštěv“ pracující s anonymními daty</w:t>
      </w:r>
    </w:p>
    <w:p w:rsidR="00D027DF" w:rsidRDefault="005257B9">
      <w:pPr>
        <w:pStyle w:val="Zkladntext"/>
        <w:numPr>
          <w:ilvl w:val="1"/>
          <w:numId w:val="3"/>
        </w:numPr>
      </w:pPr>
      <w:r>
        <w:t>detekce komentářového spamu</w:t>
      </w:r>
    </w:p>
    <w:p w:rsidR="00D027DF" w:rsidRDefault="005257B9">
      <w:pPr>
        <w:pStyle w:val="Zkladntext"/>
        <w:numPr>
          <w:ilvl w:val="1"/>
          <w:numId w:val="3"/>
        </w:numPr>
      </w:pPr>
      <w:r>
        <w:t>cloudová úložiště (Dropbox. Google Drive, OneDrive)</w:t>
      </w:r>
    </w:p>
    <w:p w:rsidR="00D027DF" w:rsidRDefault="005257B9">
      <w:pPr>
        <w:pStyle w:val="Zkladntext"/>
        <w:numPr>
          <w:ilvl w:val="1"/>
          <w:numId w:val="3"/>
        </w:numPr>
      </w:pPr>
      <w:r>
        <w:t>rozšiřující možnosti (témata vzhledu, pluginy / moduly atd.)</w:t>
      </w:r>
    </w:p>
    <w:p w:rsidR="00D027DF" w:rsidRDefault="005257B9">
      <w:pPr>
        <w:pStyle w:val="Nadpis2"/>
      </w:pPr>
      <w:r>
        <w:lastRenderedPageBreak/>
        <w:t>Kdy se vás GDPR týká</w:t>
      </w:r>
    </w:p>
    <w:p w:rsidR="00D027DF" w:rsidRDefault="005257B9">
      <w:pPr>
        <w:pStyle w:val="Zkladntext"/>
        <w:numPr>
          <w:ilvl w:val="0"/>
          <w:numId w:val="4"/>
        </w:numPr>
      </w:pPr>
      <w:r>
        <w:t>zpracováváte osobní údaje (databáze osob)</w:t>
      </w:r>
    </w:p>
    <w:p w:rsidR="00D027DF" w:rsidRDefault="005257B9">
      <w:pPr>
        <w:pStyle w:val="Zkladntext"/>
        <w:numPr>
          <w:ilvl w:val="0"/>
          <w:numId w:val="4"/>
        </w:numPr>
      </w:pPr>
      <w:r>
        <w:t>máte povolené komentáře příspěvků (jméno, e-mail, IP adresa)</w:t>
      </w:r>
    </w:p>
    <w:p w:rsidR="00D027DF" w:rsidRDefault="005257B9">
      <w:pPr>
        <w:pStyle w:val="Zkladntext"/>
        <w:numPr>
          <w:ilvl w:val="0"/>
          <w:numId w:val="4"/>
        </w:numPr>
      </w:pPr>
      <w:r>
        <w:t>používáte účty uživatelů (jméno, příjmení, e-mail, heslo, přezdívka, AIM – AOL Instant Messenger, Yahoo IM, Jabber / Google Talk, Google+, uživatelské jm</w:t>
      </w:r>
      <w:r>
        <w:t>éno Twitteru, URL adresa profilu na Facebooku, libovolné osobní informace)</w:t>
      </w:r>
    </w:p>
    <w:p w:rsidR="00D027DF" w:rsidRDefault="005257B9">
      <w:pPr>
        <w:pStyle w:val="Zkladntext"/>
        <w:numPr>
          <w:ilvl w:val="0"/>
          <w:numId w:val="4"/>
        </w:numPr>
      </w:pPr>
      <w:r>
        <w:t>umožňujete přímo či nepřímo identifikovat osobu (článek 4, 1.)</w:t>
      </w:r>
    </w:p>
    <w:p w:rsidR="00D027DF" w:rsidRDefault="005257B9">
      <w:pPr>
        <w:pStyle w:val="Zkladntext"/>
        <w:numPr>
          <w:ilvl w:val="0"/>
          <w:numId w:val="4"/>
        </w:numPr>
      </w:pPr>
      <w:r>
        <w:t>ukládáte do prohlížeče nějaké informace, podle kterých lze identifikovat konkrétní osobu (např. unikátní cookie o přih</w:t>
      </w:r>
      <w:r>
        <w:t>lášení uživatele)</w:t>
      </w:r>
    </w:p>
    <w:p w:rsidR="00D027DF" w:rsidRDefault="005257B9">
      <w:pPr>
        <w:pStyle w:val="Zkladntext"/>
        <w:numPr>
          <w:ilvl w:val="0"/>
          <w:numId w:val="4"/>
        </w:numPr>
      </w:pPr>
      <w:r>
        <w:t>zálohujete osobní data</w:t>
      </w:r>
    </w:p>
    <w:p w:rsidR="00D027DF" w:rsidRDefault="005257B9">
      <w:pPr>
        <w:pStyle w:val="Zkladntext"/>
        <w:numPr>
          <w:ilvl w:val="0"/>
          <w:numId w:val="4"/>
        </w:numPr>
      </w:pPr>
      <w:r>
        <w:t>používáte služby třetích stran</w:t>
      </w:r>
    </w:p>
    <w:p w:rsidR="00D027DF" w:rsidRDefault="005257B9">
      <w:pPr>
        <w:pStyle w:val="Zkladntext"/>
      </w:pPr>
      <w:r>
        <w:t>Povinnosti:</w:t>
      </w:r>
    </w:p>
    <w:p w:rsidR="00D027DF" w:rsidRDefault="005257B9">
      <w:pPr>
        <w:pStyle w:val="Zkladntext"/>
        <w:numPr>
          <w:ilvl w:val="0"/>
          <w:numId w:val="5"/>
        </w:numPr>
      </w:pPr>
      <w:r>
        <w:t>vyžádat souhlas od všech osob (tj. i u osob před termínem 25.5.2018)</w:t>
      </w:r>
    </w:p>
    <w:p w:rsidR="00D027DF" w:rsidRDefault="005257B9">
      <w:pPr>
        <w:pStyle w:val="Zkladntext"/>
        <w:numPr>
          <w:ilvl w:val="0"/>
          <w:numId w:val="5"/>
        </w:numPr>
      </w:pPr>
      <w:r>
        <w:t>být procesně připraven</w:t>
      </w:r>
    </w:p>
    <w:p w:rsidR="00D027DF" w:rsidRDefault="005257B9">
      <w:pPr>
        <w:pStyle w:val="Zkladntext"/>
        <w:numPr>
          <w:ilvl w:val="0"/>
          <w:numId w:val="5"/>
        </w:numPr>
      </w:pPr>
      <w:r>
        <w:t>mít uzavřené zpracovávatelské smlouvy odpovídající požadavkům GDPR</w:t>
      </w:r>
    </w:p>
    <w:p w:rsidR="00D027DF" w:rsidRDefault="005257B9">
      <w:pPr>
        <w:pStyle w:val="Zkladntext"/>
        <w:numPr>
          <w:ilvl w:val="0"/>
          <w:numId w:val="5"/>
        </w:numPr>
      </w:pPr>
      <w:r>
        <w:t xml:space="preserve">zpřístupnit </w:t>
      </w:r>
      <w:hyperlink>
        <w:r>
          <w:rPr>
            <w:rStyle w:val="Internetovodkaz"/>
          </w:rPr>
          <w:t>Zásady ochrany osobních údajů</w:t>
        </w:r>
      </w:hyperlink>
      <w:r>
        <w:t xml:space="preserve"> (registrace, komentáře)</w:t>
      </w:r>
    </w:p>
    <w:p w:rsidR="00D027DF" w:rsidRDefault="005257B9">
      <w:pPr>
        <w:pStyle w:val="Zkladntext"/>
        <w:numPr>
          <w:ilvl w:val="1"/>
          <w:numId w:val="5"/>
        </w:numPr>
      </w:pPr>
      <w:r>
        <w:rPr>
          <w:b/>
          <w:bCs/>
        </w:rPr>
        <w:t>jaká data</w:t>
      </w:r>
      <w:r>
        <w:t xml:space="preserve"> jsou sbírána</w:t>
      </w:r>
    </w:p>
    <w:p w:rsidR="00D027DF" w:rsidRDefault="005257B9">
      <w:pPr>
        <w:pStyle w:val="Zkladntext"/>
        <w:numPr>
          <w:ilvl w:val="1"/>
          <w:numId w:val="5"/>
        </w:numPr>
      </w:pPr>
      <w:r>
        <w:rPr>
          <w:b/>
          <w:bCs/>
        </w:rPr>
        <w:t>proč</w:t>
      </w:r>
      <w:r>
        <w:t xml:space="preserve"> jsou data používána</w:t>
      </w:r>
    </w:p>
    <w:p w:rsidR="00D027DF" w:rsidRDefault="005257B9">
      <w:pPr>
        <w:pStyle w:val="Zkladntext"/>
        <w:numPr>
          <w:ilvl w:val="1"/>
          <w:numId w:val="5"/>
        </w:numPr>
      </w:pPr>
      <w:r>
        <w:rPr>
          <w:b/>
          <w:bCs/>
        </w:rPr>
        <w:t>jak dlouho</w:t>
      </w:r>
      <w:r>
        <w:t xml:space="preserve"> se budou využívat (účet – po dobu registrace, komentáře – po dobu existence článku)</w:t>
      </w:r>
    </w:p>
    <w:p w:rsidR="00D027DF" w:rsidRDefault="005257B9">
      <w:pPr>
        <w:pStyle w:val="Zkladntext"/>
        <w:numPr>
          <w:ilvl w:val="1"/>
          <w:numId w:val="5"/>
        </w:numPr>
      </w:pPr>
      <w:r>
        <w:rPr>
          <w:b/>
          <w:bCs/>
        </w:rPr>
        <w:t>kdo</w:t>
      </w:r>
      <w:r>
        <w:t xml:space="preserve"> k nim má přístup (zpracovatelé)</w:t>
      </w:r>
    </w:p>
    <w:p w:rsidR="00D027DF" w:rsidRDefault="005257B9">
      <w:pPr>
        <w:pStyle w:val="Zkladntext"/>
        <w:numPr>
          <w:ilvl w:val="1"/>
          <w:numId w:val="5"/>
        </w:numPr>
      </w:pPr>
      <w:r>
        <w:rPr>
          <w:b/>
          <w:bCs/>
        </w:rPr>
        <w:t>kde</w:t>
      </w:r>
      <w:r>
        <w:t xml:space="preserve"> se </w:t>
      </w:r>
      <w:r>
        <w:t>zálohují</w:t>
      </w:r>
    </w:p>
    <w:p w:rsidR="00D027DF" w:rsidRDefault="005257B9">
      <w:pPr>
        <w:pStyle w:val="Zkladntext"/>
        <w:numPr>
          <w:ilvl w:val="1"/>
          <w:numId w:val="5"/>
        </w:numPr>
      </w:pPr>
      <w:r>
        <w:t>jaký je postup k jejich odstranění</w:t>
      </w:r>
    </w:p>
    <w:p w:rsidR="00D027DF" w:rsidRDefault="005257B9">
      <w:pPr>
        <w:pStyle w:val="Zkladntext"/>
        <w:numPr>
          <w:ilvl w:val="0"/>
          <w:numId w:val="5"/>
        </w:numPr>
      </w:pPr>
      <w:r>
        <w:t>mimo území EU přijmout příslušná právní opatření</w:t>
      </w:r>
    </w:p>
    <w:p w:rsidR="00D027DF" w:rsidRDefault="005257B9">
      <w:pPr>
        <w:pStyle w:val="Zkladntext"/>
      </w:pPr>
      <w:r>
        <w:t>Práva:</w:t>
      </w:r>
    </w:p>
    <w:p w:rsidR="00D027DF" w:rsidRDefault="005257B9">
      <w:pPr>
        <w:pStyle w:val="Zkladntext"/>
        <w:numPr>
          <w:ilvl w:val="0"/>
          <w:numId w:val="6"/>
        </w:numPr>
      </w:pPr>
      <w:r>
        <w:t>přístup k ukládaným osobním údajů</w:t>
      </w:r>
    </w:p>
    <w:p w:rsidR="00D027DF" w:rsidRDefault="005257B9">
      <w:pPr>
        <w:pStyle w:val="Zkladntext"/>
        <w:numPr>
          <w:ilvl w:val="0"/>
          <w:numId w:val="6"/>
        </w:numPr>
      </w:pPr>
      <w:r>
        <w:t>možnost vymazání (anonymizace) všech zákonem nevyžadovaných osobních údajů konkrétního člověka</w:t>
      </w:r>
    </w:p>
    <w:p w:rsidR="00D027DF" w:rsidRDefault="005257B9">
      <w:pPr>
        <w:pStyle w:val="Zkladntext"/>
        <w:numPr>
          <w:ilvl w:val="1"/>
          <w:numId w:val="6"/>
        </w:numPr>
      </w:pPr>
      <w:r>
        <w:t>fotografie</w:t>
      </w:r>
    </w:p>
    <w:p w:rsidR="00D027DF" w:rsidRDefault="005257B9">
      <w:pPr>
        <w:pStyle w:val="Zkladntext"/>
        <w:numPr>
          <w:ilvl w:val="1"/>
          <w:numId w:val="6"/>
        </w:numPr>
      </w:pPr>
      <w:r>
        <w:t xml:space="preserve">podpis (sklon, </w:t>
      </w:r>
      <w:r>
        <w:t>přítlak)</w:t>
      </w:r>
    </w:p>
    <w:p w:rsidR="00D027DF" w:rsidRDefault="005257B9">
      <w:pPr>
        <w:pStyle w:val="Zkladntext"/>
        <w:numPr>
          <w:ilvl w:val="1"/>
          <w:numId w:val="6"/>
        </w:numPr>
      </w:pPr>
      <w:r>
        <w:lastRenderedPageBreak/>
        <w:t>biometrické údaje (oční rohovka, otisky prstů)</w:t>
      </w:r>
    </w:p>
    <w:p w:rsidR="00D027DF" w:rsidRDefault="005257B9">
      <w:pPr>
        <w:pStyle w:val="Zkladntext"/>
        <w:numPr>
          <w:ilvl w:val="1"/>
          <w:numId w:val="6"/>
        </w:numPr>
      </w:pPr>
      <w:r>
        <w:t>hlas</w:t>
      </w:r>
    </w:p>
    <w:p w:rsidR="00D027DF" w:rsidRDefault="005257B9">
      <w:pPr>
        <w:pStyle w:val="Zkladntext"/>
        <w:numPr>
          <w:ilvl w:val="1"/>
          <w:numId w:val="6"/>
        </w:numPr>
      </w:pPr>
      <w:r>
        <w:t>video záznam atd.</w:t>
      </w:r>
    </w:p>
    <w:p w:rsidR="00D027DF" w:rsidRDefault="005257B9">
      <w:pPr>
        <w:pStyle w:val="Zkladntext"/>
      </w:pPr>
      <w:r>
        <w:t>Sankce:</w:t>
      </w:r>
    </w:p>
    <w:p w:rsidR="00D027DF" w:rsidRDefault="005257B9">
      <w:pPr>
        <w:pStyle w:val="Zkladntext"/>
        <w:numPr>
          <w:ilvl w:val="0"/>
          <w:numId w:val="7"/>
        </w:numPr>
      </w:pPr>
      <w:r>
        <w:t>varování</w:t>
      </w:r>
    </w:p>
    <w:p w:rsidR="00D027DF" w:rsidRDefault="005257B9">
      <w:pPr>
        <w:pStyle w:val="Zkladntext"/>
        <w:numPr>
          <w:ilvl w:val="0"/>
          <w:numId w:val="7"/>
        </w:numPr>
      </w:pPr>
      <w:r>
        <w:t>napomenutí</w:t>
      </w:r>
    </w:p>
    <w:p w:rsidR="00D027DF" w:rsidRDefault="005257B9">
      <w:pPr>
        <w:pStyle w:val="Zkladntext"/>
        <w:numPr>
          <w:ilvl w:val="0"/>
          <w:numId w:val="7"/>
        </w:numPr>
      </w:pPr>
      <w:r>
        <w:t>pozastavení zpracovávání údajů</w:t>
      </w:r>
    </w:p>
    <w:p w:rsidR="00D027DF" w:rsidRDefault="005257B9">
      <w:pPr>
        <w:pStyle w:val="Zkladntext"/>
        <w:numPr>
          <w:ilvl w:val="0"/>
          <w:numId w:val="7"/>
        </w:numPr>
      </w:pPr>
      <w:r>
        <w:t>pokuta 20 milionů €</w:t>
      </w:r>
    </w:p>
    <w:p w:rsidR="00D027DF" w:rsidRDefault="005257B9">
      <w:pPr>
        <w:pStyle w:val="Zkladntext"/>
        <w:numPr>
          <w:ilvl w:val="0"/>
          <w:numId w:val="7"/>
        </w:numPr>
      </w:pPr>
      <w:r>
        <w:t>pokuta 4 % z globálního ročního obratu</w:t>
      </w:r>
    </w:p>
    <w:p w:rsidR="00D027DF" w:rsidRDefault="005257B9">
      <w:pPr>
        <w:pStyle w:val="Zkladntext"/>
      </w:pPr>
      <w:r>
        <w:t>Odkazy:</w:t>
      </w:r>
    </w:p>
    <w:p w:rsidR="00D027DF" w:rsidRDefault="005257B9">
      <w:pPr>
        <w:pStyle w:val="Zkladntext"/>
        <w:numPr>
          <w:ilvl w:val="0"/>
          <w:numId w:val="8"/>
        </w:numPr>
      </w:pPr>
      <w:hyperlink r:id="rId7">
        <w:r>
          <w:rPr>
            <w:rStyle w:val="Internetovodkaz"/>
          </w:rPr>
          <w:t>www.eugdpr.o</w:t>
        </w:r>
        <w:r>
          <w:rPr>
            <w:rStyle w:val="Internetovodkaz"/>
          </w:rPr>
          <w:t>rg</w:t>
        </w:r>
      </w:hyperlink>
      <w:r>
        <w:t xml:space="preserve"> </w:t>
      </w:r>
    </w:p>
    <w:p w:rsidR="00D027DF" w:rsidRDefault="005257B9">
      <w:pPr>
        <w:pStyle w:val="Zkladntext"/>
        <w:numPr>
          <w:ilvl w:val="0"/>
          <w:numId w:val="8"/>
        </w:numPr>
      </w:pPr>
      <w:hyperlink r:id="rId8">
        <w:r>
          <w:rPr>
            <w:rStyle w:val="Internetovodkaz"/>
          </w:rPr>
          <w:t>ochrana údajů</w:t>
        </w:r>
      </w:hyperlink>
    </w:p>
    <w:p w:rsidR="00D027DF" w:rsidRDefault="005257B9">
      <w:pPr>
        <w:pStyle w:val="Zkladntext"/>
        <w:numPr>
          <w:ilvl w:val="0"/>
          <w:numId w:val="8"/>
        </w:numPr>
      </w:pPr>
      <w:hyperlink r:id="rId9">
        <w:r>
          <w:rPr>
            <w:rStyle w:val="Internetovodkaz"/>
          </w:rPr>
          <w:t>www.uoou.cz</w:t>
        </w:r>
      </w:hyperlink>
    </w:p>
    <w:p w:rsidR="00D027DF" w:rsidRDefault="005257B9">
      <w:pPr>
        <w:pStyle w:val="Zkladntext"/>
        <w:numPr>
          <w:ilvl w:val="0"/>
          <w:numId w:val="8"/>
        </w:numPr>
      </w:pPr>
      <w:hyperlink r:id="rId10">
        <w:r>
          <w:rPr>
            <w:rStyle w:val="Internetovodkaz"/>
          </w:rPr>
          <w:t>reforma pravidel EU pro ochranu osobních údajů</w:t>
        </w:r>
      </w:hyperlink>
    </w:p>
    <w:p w:rsidR="00D027DF" w:rsidRDefault="005257B9">
      <w:pPr>
        <w:pStyle w:val="Nadpis2"/>
      </w:pPr>
      <w:r>
        <w:t>Ochrana soukromí</w:t>
      </w:r>
    </w:p>
    <w:p w:rsidR="00D027DF" w:rsidRDefault="005257B9">
      <w:pPr>
        <w:pStyle w:val="Zkladntext"/>
      </w:pPr>
      <w:r>
        <w:t xml:space="preserve">Před sledováním při procházení Internetu Vás může chránit například rozšíření pro Google Chrome </w:t>
      </w:r>
      <w:hyperlink r:id="rId11">
        <w:r>
          <w:rPr>
            <w:rStyle w:val="Internetovodkaz"/>
          </w:rPr>
          <w:t>Privacy Badger</w:t>
        </w:r>
      </w:hyperlink>
      <w:r>
        <w:t>.</w:t>
      </w:r>
    </w:p>
    <w:sectPr w:rsidR="00D027D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C3F90"/>
    <w:multiLevelType w:val="multilevel"/>
    <w:tmpl w:val="5554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47B4520"/>
    <w:multiLevelType w:val="multilevel"/>
    <w:tmpl w:val="42DC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562C27F3"/>
    <w:multiLevelType w:val="multilevel"/>
    <w:tmpl w:val="7DD83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6F4D3AA9"/>
    <w:multiLevelType w:val="multilevel"/>
    <w:tmpl w:val="467A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732B7B76"/>
    <w:multiLevelType w:val="multilevel"/>
    <w:tmpl w:val="5650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754D6BF9"/>
    <w:multiLevelType w:val="multilevel"/>
    <w:tmpl w:val="02A61D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791431F"/>
    <w:multiLevelType w:val="multilevel"/>
    <w:tmpl w:val="8A241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AED26FB"/>
    <w:multiLevelType w:val="multilevel"/>
    <w:tmpl w:val="3AD2FA40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27DF"/>
    <w:rsid w:val="005257B9"/>
    <w:rsid w:val="00D0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color w:val="00000A"/>
      <w:sz w:val="24"/>
    </w:rPr>
  </w:style>
  <w:style w:type="paragraph" w:styleId="Nadpis1">
    <w:name w:val="heading 1"/>
    <w:basedOn w:val="Nadpi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cs="OpenSymbol"/>
      <w:b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justice/smedataprotect/index_en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ugdp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zhurudolu.cz/blog/36-eu-cookies" TargetMode="External"/><Relationship Id="rId11" Type="http://schemas.openxmlformats.org/officeDocument/2006/relationships/hyperlink" Target="https://chrome.google.com/webstore/detail/privacy-badger/pkehgijcmpdhfbdbbnkijodmdjhbjlg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commission/priorities/justice-and-fundamental-rights/data-protection/2018-reform-eu-data-protection-rules_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oou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3</Pages>
  <Words>527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12</cp:revision>
  <dcterms:created xsi:type="dcterms:W3CDTF">2019-10-27T11:54:00Z</dcterms:created>
  <dcterms:modified xsi:type="dcterms:W3CDTF">2024-11-18T18:17:00Z</dcterms:modified>
  <dc:language>cs-CZ</dc:language>
</cp:coreProperties>
</file>